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B3F6A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B1756B">
        <w:rPr>
          <w:bCs/>
          <w:noProof w:val="0"/>
          <w:sz w:val="24"/>
          <w:szCs w:val="24"/>
        </w:rPr>
        <w:t>09120</w:t>
      </w:r>
    </w:p>
    <w:p w14:paraId="11776FA6" w14:textId="4020972D"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F1D8C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6E45">
        <w:rPr>
          <w:rFonts w:cs="Arial"/>
          <w:b/>
          <w:bCs/>
          <w:sz w:val="24"/>
          <w:lang w:eastAsia="ja-JP"/>
        </w:rPr>
        <w:t>11.20.2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C307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6E45">
        <w:rPr>
          <w:rFonts w:ascii="Arial" w:hAnsi="Arial" w:cs="Arial"/>
          <w:b/>
          <w:bCs/>
          <w:sz w:val="24"/>
        </w:rPr>
        <w:t>MDBV Enforcement</w:t>
      </w:r>
    </w:p>
    <w:p w14:paraId="1F147C23" w14:textId="1F30C35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6E45">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396E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A8402CD" w:rsidR="007F2E08" w:rsidRPr="006E13D1" w:rsidRDefault="00C42FBE" w:rsidP="00A209D6">
      <w:r>
        <w:t xml:space="preserve">The enforcement of MDBV in uplink is one area </w:t>
      </w:r>
      <w:r w:rsidR="00005AFE">
        <w:t>for which an optimal support was deferred to later releases due to lack of time</w:t>
      </w:r>
      <w:r w:rsidR="00F579CD">
        <w:t>.</w:t>
      </w:r>
      <w:r w:rsidR="00005AFE">
        <w:t xml:space="preserve"> In this contribution, </w:t>
      </w:r>
      <w:r w:rsidR="0003579A">
        <w:t xml:space="preserve">the limitations of Rel-15 are reviewed and possible solutions </w:t>
      </w:r>
      <w:r w:rsidR="00A817B9">
        <w:t xml:space="preserve">are </w:t>
      </w:r>
      <w:r w:rsidR="0003579A">
        <w:t>then given.</w:t>
      </w:r>
    </w:p>
    <w:p w14:paraId="2BBFF540" w14:textId="38197A1B" w:rsidR="00A209D6" w:rsidRPr="006E13D1" w:rsidRDefault="00A209D6" w:rsidP="00A209D6">
      <w:pPr>
        <w:pStyle w:val="Heading1"/>
      </w:pPr>
      <w:r w:rsidRPr="006E13D1">
        <w:t>2</w:t>
      </w:r>
      <w:r w:rsidRPr="006E13D1">
        <w:tab/>
      </w:r>
      <w:r w:rsidR="006E4F24">
        <w:t>Background Information</w:t>
      </w:r>
    </w:p>
    <w:p w14:paraId="446E3F71" w14:textId="45488AB0" w:rsidR="006E4F24" w:rsidRDefault="006E4F24" w:rsidP="006E4F24">
      <w:r>
        <w:t xml:space="preserve">MDBV is used in radio admission control to assess how many Delay Critical GBR bearers can be supported in parallel in a cell. If Delay Critical GBR bearers started sending more data than initially planned by the MDBV, the gNB would have no other choices but to take the statistical variations into account when performing admission control, thereby reducing not only the number of Delay Critical GBR bearers it allows but any type of bearers for which resources need to be guaranteed. For instance, considering a Delay Critical GBR service requiring </w:t>
      </w:r>
      <w:r w:rsidRPr="00CE53B1">
        <w:rPr>
          <w:lang w:val="en-US"/>
        </w:rPr>
        <w:t xml:space="preserve">160 octets </w:t>
      </w:r>
      <w:r>
        <w:rPr>
          <w:lang w:val="en-US"/>
        </w:rPr>
        <w:t xml:space="preserve">to be sent </w:t>
      </w:r>
      <w:r w:rsidRPr="00CE53B1">
        <w:rPr>
          <w:lang w:val="en-US"/>
        </w:rPr>
        <w:t>within 5ms every 1s</w:t>
      </w:r>
      <w:r>
        <w:rPr>
          <w:lang w:val="en-US"/>
        </w:rPr>
        <w:t xml:space="preserve">, a PDB of 5ms, MDBV of </w:t>
      </w:r>
      <w:r w:rsidRPr="00CE53B1">
        <w:rPr>
          <w:lang w:val="en-US"/>
        </w:rPr>
        <w:t>160octets</w:t>
      </w:r>
      <w:r>
        <w:rPr>
          <w:lang w:val="en-US"/>
        </w:rPr>
        <w:t xml:space="preserve"> and GBR of 1,280bit/s (160octets/s) would be configured. If th</w:t>
      </w:r>
      <w:r w:rsidR="00907A7C">
        <w:rPr>
          <w:lang w:val="en-US"/>
        </w:rPr>
        <w:t xml:space="preserve">is </w:t>
      </w:r>
      <w:r>
        <w:rPr>
          <w:lang w:val="en-US"/>
        </w:rPr>
        <w:t>service ignored the MDBV, the gNB would have to cope with a bit rate up to 256,000bit/s (160octets/5ms).</w:t>
      </w:r>
    </w:p>
    <w:p w14:paraId="54849F87" w14:textId="77777777" w:rsidR="006E4F24" w:rsidRDefault="006E4F24" w:rsidP="006E4F24">
      <w:r w:rsidRPr="00EE5631">
        <w:rPr>
          <w:b/>
        </w:rPr>
        <w:t>Observation 1</w:t>
      </w:r>
      <w:r>
        <w:t>: allowing Delay Critical GBR bearers to exceed the MDBV based on which admission control is based results in lower capacity for all GBR bearers.</w:t>
      </w:r>
    </w:p>
    <w:p w14:paraId="7EE8D0D6" w14:textId="4A9B4B7A" w:rsidR="006E4F24" w:rsidRDefault="006E4F24" w:rsidP="006E4F24">
      <w:r>
        <w:t>To maximise cell capacity, MDBV enforcement is therefore obviously needed. That is the reason why SA2 state</w:t>
      </w:r>
      <w:r w:rsidR="001F1D32">
        <w:t>d</w:t>
      </w:r>
      <w:r>
        <w:t xml:space="preserve"> the following </w:t>
      </w:r>
      <w:r w:rsidR="001F1D32">
        <w:t xml:space="preserve">in an LS to RAN2 </w:t>
      </w:r>
      <w:r>
        <w:t>[</w:t>
      </w:r>
      <w:hyperlink r:id="rId12" w:history="1">
        <w:r w:rsidRPr="00FF371A">
          <w:rPr>
            <w:rStyle w:val="Hyperlink"/>
          </w:rPr>
          <w:t>R2-1806659</w:t>
        </w:r>
      </w:hyperlink>
      <w:r>
        <w:t>]:</w:t>
      </w:r>
    </w:p>
    <w:p w14:paraId="44A096EE" w14:textId="77777777" w:rsidR="006E4F24" w:rsidRDefault="006E4F24" w:rsidP="006E4F24">
      <w:pPr>
        <w:pStyle w:val="B1"/>
        <w:rPr>
          <w:i/>
        </w:rPr>
      </w:pPr>
      <w:r>
        <w:t>-</w:t>
      </w:r>
      <w:r>
        <w:tab/>
      </w:r>
      <w:r w:rsidRPr="00687CCB">
        <w:rPr>
          <w:i/>
        </w:rPr>
        <w:t>SA2 expect that the PDB and PER requirements are satisfied in the UL and DL for all delay critical QoS flows that do not exceed the MDBV in the presence of any competing traffic. If other delay critical QoS Flows exceeds the MDBV, it is not required that for these QoS flows the PDB and PER targets are met.</w:t>
      </w:r>
    </w:p>
    <w:p w14:paraId="5FCB0598" w14:textId="77777777" w:rsidR="006E4F24" w:rsidRPr="00687CCB" w:rsidRDefault="006E4F24" w:rsidP="006E4F24">
      <w:pPr>
        <w:pStyle w:val="B1"/>
        <w:rPr>
          <w:i/>
        </w:rPr>
      </w:pPr>
      <w:r w:rsidRPr="00687CCB">
        <w:rPr>
          <w:i/>
        </w:rPr>
        <w:t>-</w:t>
      </w:r>
      <w:r w:rsidRPr="00687CCB">
        <w:rPr>
          <w:i/>
        </w:rPr>
        <w:tab/>
        <w:t>SA2 would like to ask RAN2 to confirm the above behaviour is supported by the RAN specifications and whether any specific action is required in order to deliver predictable behaviour to compliant flows, in presence other delay critical QoS flows.</w:t>
      </w:r>
    </w:p>
    <w:p w14:paraId="766D6D29" w14:textId="72562E0F" w:rsidR="00A209D6" w:rsidRPr="006E13D1" w:rsidRDefault="00A209D6" w:rsidP="00A209D6">
      <w:pPr>
        <w:pStyle w:val="Heading1"/>
      </w:pPr>
      <w:r w:rsidRPr="006E13D1">
        <w:t>3</w:t>
      </w:r>
      <w:r w:rsidRPr="006E13D1">
        <w:tab/>
      </w:r>
      <w:r w:rsidR="001F1D32">
        <w:t>Release 15 Limitations</w:t>
      </w:r>
    </w:p>
    <w:p w14:paraId="7A9E2268" w14:textId="632B36F7" w:rsidR="00EA4359" w:rsidRPr="006641CC" w:rsidRDefault="0067761F" w:rsidP="00EA4359">
      <w:pPr>
        <w:rPr>
          <w:rFonts w:ascii="Calibri" w:hAnsi="Calibri"/>
          <w:color w:val="000000"/>
          <w:sz w:val="22"/>
          <w:szCs w:val="22"/>
          <w:lang w:val="en-US" w:eastAsia="ja-JP"/>
        </w:rPr>
      </w:pPr>
      <w:r>
        <w:rPr>
          <w:color w:val="000000"/>
          <w:lang w:eastAsia="ja-JP"/>
        </w:rPr>
        <w:t xml:space="preserve">Uplink data transmission </w:t>
      </w:r>
      <w:r w:rsidR="00EA4359">
        <w:rPr>
          <w:color w:val="000000"/>
          <w:lang w:eastAsia="ja-JP"/>
        </w:rPr>
        <w:t xml:space="preserve">in NR </w:t>
      </w:r>
      <w:r>
        <w:rPr>
          <w:color w:val="000000"/>
          <w:lang w:eastAsia="ja-JP"/>
        </w:rPr>
        <w:t xml:space="preserve">relies on a </w:t>
      </w:r>
      <w:r w:rsidRPr="006641CC">
        <w:rPr>
          <w:color w:val="000000"/>
          <w:lang w:eastAsia="ja-JP"/>
        </w:rPr>
        <w:t xml:space="preserve">rate control function </w:t>
      </w:r>
      <w:r w:rsidR="004E3026" w:rsidRPr="006641CC">
        <w:rPr>
          <w:color w:val="000000"/>
          <w:lang w:eastAsia="ja-JP"/>
        </w:rPr>
        <w:t>which manages the sharing of uplink reso</w:t>
      </w:r>
      <w:r w:rsidR="004E3026">
        <w:rPr>
          <w:color w:val="000000"/>
          <w:lang w:eastAsia="ja-JP"/>
        </w:rPr>
        <w:t>urces between logical channels</w:t>
      </w:r>
      <w:r w:rsidR="00EA4359">
        <w:rPr>
          <w:color w:val="000000"/>
          <w:lang w:eastAsia="ja-JP"/>
        </w:rPr>
        <w:t xml:space="preserve"> having data to transmit</w:t>
      </w:r>
      <w:r w:rsidR="004E3026">
        <w:rPr>
          <w:color w:val="000000"/>
          <w:lang w:eastAsia="ja-JP"/>
        </w:rPr>
        <w:t xml:space="preserve">: the logical channel prioritisation function (LCP). </w:t>
      </w:r>
      <w:r w:rsidR="004E3026" w:rsidRPr="006641CC">
        <w:rPr>
          <w:color w:val="000000"/>
          <w:lang w:eastAsia="ja-JP"/>
        </w:rPr>
        <w:t xml:space="preserve">RRC controls </w:t>
      </w:r>
      <w:r w:rsidR="004E3026">
        <w:rPr>
          <w:color w:val="000000"/>
          <w:lang w:eastAsia="ja-JP"/>
        </w:rPr>
        <w:t>LCP</w:t>
      </w:r>
      <w:r w:rsidR="004E3026" w:rsidRPr="006641CC">
        <w:rPr>
          <w:color w:val="000000"/>
          <w:lang w:eastAsia="ja-JP"/>
        </w:rPr>
        <w:t xml:space="preserve"> by giving each logical channel a priority, a prioritised bit rate (PBR), a </w:t>
      </w:r>
      <w:r w:rsidR="00EB2F1C">
        <w:rPr>
          <w:color w:val="000000"/>
          <w:lang w:eastAsia="ja-JP"/>
        </w:rPr>
        <w:t>bucket</w:t>
      </w:r>
      <w:bookmarkStart w:id="0" w:name="_GoBack"/>
      <w:bookmarkEnd w:id="0"/>
      <w:r w:rsidR="004E3026" w:rsidRPr="006641CC">
        <w:rPr>
          <w:color w:val="000000"/>
          <w:lang w:eastAsia="ja-JP"/>
        </w:rPr>
        <w:t xml:space="preserve"> size duration (BSD)</w:t>
      </w:r>
      <w:r w:rsidR="004E3026">
        <w:rPr>
          <w:color w:val="000000"/>
          <w:lang w:eastAsia="ja-JP"/>
        </w:rPr>
        <w:t xml:space="preserve"> and a list of possible restrictions (controlling which configured cells, numerologies, PUSCH transmission duration and Configured Grant type the logical channel can use).</w:t>
      </w:r>
      <w:r w:rsidR="00EA4359">
        <w:rPr>
          <w:color w:val="000000"/>
          <w:lang w:eastAsia="ja-JP"/>
        </w:rPr>
        <w:t xml:space="preserve"> With a token </w:t>
      </w:r>
      <w:r w:rsidR="00EA4359">
        <w:t xml:space="preserve">bucket algorithm, </w:t>
      </w:r>
      <w:r w:rsidR="00EA4359">
        <w:rPr>
          <w:color w:val="000000"/>
          <w:lang w:eastAsia="ja-JP"/>
        </w:rPr>
        <w:t xml:space="preserve">LCP </w:t>
      </w:r>
      <w:r w:rsidR="00EA4359" w:rsidRPr="006641CC">
        <w:rPr>
          <w:color w:val="000000"/>
          <w:lang w:eastAsia="ja-JP"/>
        </w:rPr>
        <w:t xml:space="preserve">ensures that the logical channel(s) </w:t>
      </w:r>
      <w:r w:rsidR="00EA4359">
        <w:rPr>
          <w:color w:val="000000"/>
          <w:lang w:eastAsia="ja-JP"/>
        </w:rPr>
        <w:t xml:space="preserve">are served </w:t>
      </w:r>
      <w:r w:rsidR="00EA4359" w:rsidRPr="006641CC">
        <w:rPr>
          <w:color w:val="000000"/>
          <w:lang w:eastAsia="ja-JP"/>
        </w:rPr>
        <w:t>in the following sequence:</w:t>
      </w:r>
    </w:p>
    <w:p w14:paraId="1F9AEFB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15E9E8D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49953E0A" w14:textId="77777777" w:rsidR="00EA4359" w:rsidRDefault="00EA4359" w:rsidP="00EA4359">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5127CABD" w14:textId="4C9E863B" w:rsidR="00EE115F" w:rsidRDefault="00413A26" w:rsidP="00EE115F">
      <w:r>
        <w:t>I</w:t>
      </w:r>
      <w:r w:rsidR="00EE115F">
        <w:t>n s</w:t>
      </w:r>
      <w:r w:rsidR="00EE115F" w:rsidRPr="008B50DD">
        <w:t>cenarios where LCP restrictions can be put in place to isolate Delay Critical GBR services by mapping them on distinct resources (may it be cell, numerology…)</w:t>
      </w:r>
      <w:r w:rsidR="00EE115F">
        <w:t xml:space="preserve">, </w:t>
      </w:r>
      <w:r w:rsidR="00EE115F" w:rsidRPr="008B50DD">
        <w:t>it is obvious that through scheduling (dynamic or SPS), the gNB has direct control of the Delay Critical GBR bearers and can always ensure that the MDBV is never exceeded.</w:t>
      </w:r>
    </w:p>
    <w:p w14:paraId="6D6F73B4" w14:textId="73894503" w:rsidR="00E1186C" w:rsidRDefault="00106BFE" w:rsidP="00EE115F">
      <w:r>
        <w:t>But in s</w:t>
      </w:r>
      <w:r w:rsidRPr="008B50DD">
        <w:t>cenarios where LCP restrictions cannot isolate Delay Critical GBR services from each other and/or from other services</w:t>
      </w:r>
      <w:r>
        <w:t>, th</w:t>
      </w:r>
      <w:r w:rsidRPr="008B50DD">
        <w:t xml:space="preserve">e gNB has no direct control of the bearers and they can freely compete for the grants. It seems reasonable to assume that Delay Critical GBR bearers will be configured with a high priority and will therefore see their PBR served first. </w:t>
      </w:r>
      <w:r>
        <w:t xml:space="preserve">So, </w:t>
      </w:r>
      <w:r w:rsidRPr="008B50DD">
        <w:t xml:space="preserve">when additional resources are granted for the purpose of serving other bearers, there is no possibility to prevent a high priority Delay Critical GBR bearer from sending data beyond MDBV if it has data buffered. While it may be argued that since the resources are anyway used to send data and therefore not wasted for that particular UE, </w:t>
      </w:r>
      <w:r>
        <w:t xml:space="preserve">such behaviour </w:t>
      </w:r>
      <w:r w:rsidRPr="008B50DD">
        <w:t xml:space="preserve">will result in lower capacity for other bearers </w:t>
      </w:r>
      <w:r w:rsidR="00B14244">
        <w:t>as explained above.</w:t>
      </w:r>
    </w:p>
    <w:p w14:paraId="35533E8A" w14:textId="68EDCB84" w:rsidR="00C3597D" w:rsidRPr="008B50DD" w:rsidRDefault="00C3597D" w:rsidP="00C3597D">
      <w:r w:rsidRPr="00EE5631">
        <w:rPr>
          <w:b/>
        </w:rPr>
        <w:t xml:space="preserve">Observation </w:t>
      </w:r>
      <w:r w:rsidR="00463D40">
        <w:rPr>
          <w:b/>
        </w:rPr>
        <w:t>2</w:t>
      </w:r>
      <w:r>
        <w:t>:</w:t>
      </w:r>
      <w:r w:rsidRPr="00B14244">
        <w:t xml:space="preserve"> </w:t>
      </w:r>
      <w:r>
        <w:t xml:space="preserve">MDBV enforcement is limited in Rel-15 to </w:t>
      </w:r>
      <w:r w:rsidR="00184231">
        <w:t xml:space="preserve">complex </w:t>
      </w:r>
      <w:r>
        <w:t>scenarios where resource isolation</w:t>
      </w:r>
      <w:r w:rsidR="00D34F05">
        <w:t xml:space="preserve"> is possible</w:t>
      </w:r>
      <w:r>
        <w:t>.</w:t>
      </w:r>
    </w:p>
    <w:p w14:paraId="1297A9E3" w14:textId="772FAA3C" w:rsidR="00395D6F" w:rsidRPr="008B50DD" w:rsidRDefault="00B14244" w:rsidP="00EE115F">
      <w:r w:rsidRPr="00EE5631">
        <w:rPr>
          <w:b/>
        </w:rPr>
        <w:t xml:space="preserve">Observation </w:t>
      </w:r>
      <w:r w:rsidR="00463D40">
        <w:rPr>
          <w:b/>
        </w:rPr>
        <w:t>3</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5FF2457F" w14:textId="2179EC57" w:rsidR="00A209D6" w:rsidRPr="006E13D1" w:rsidRDefault="00A209D6" w:rsidP="00A209D6">
      <w:pPr>
        <w:pStyle w:val="Heading1"/>
      </w:pPr>
      <w:r w:rsidRPr="006E13D1">
        <w:t>4</w:t>
      </w:r>
      <w:r w:rsidRPr="006E13D1">
        <w:tab/>
      </w:r>
      <w:r w:rsidR="0080590E">
        <w:t>Release 16 Improvements</w:t>
      </w:r>
    </w:p>
    <w:p w14:paraId="4F5B6D6E" w14:textId="6B316B82" w:rsidR="0036339F" w:rsidRDefault="00FC4B1D" w:rsidP="0036339F">
      <w:r>
        <w:t>We believe that MDBV enforcement should not depend on the complexity of the deployments and that even in simple cases (</w:t>
      </w:r>
      <w:r w:rsidR="00650CCD">
        <w:t xml:space="preserve">same numerology, one serving cell), MDBV should </w:t>
      </w:r>
      <w:r w:rsidR="00D726E9">
        <w:t xml:space="preserve">still </w:t>
      </w:r>
      <w:r w:rsidR="00650CCD">
        <w:t>be enforced.</w:t>
      </w:r>
      <w:r w:rsidR="00DB299B">
        <w:t xml:space="preserve"> </w:t>
      </w:r>
      <w:r w:rsidR="00D726E9">
        <w:t xml:space="preserve">To do that, the most likely candidate is LCP as it governs how uplink resources are used. </w:t>
      </w:r>
      <w:r w:rsidR="00864566">
        <w:t xml:space="preserve">Some possible </w:t>
      </w:r>
      <w:r w:rsidR="0036339F">
        <w:t>alternative</w:t>
      </w:r>
      <w:r w:rsidR="00864566">
        <w:t xml:space="preserve"> include</w:t>
      </w:r>
      <w:r w:rsidR="0036339F">
        <w:t>:</w:t>
      </w:r>
    </w:p>
    <w:p w14:paraId="0181FA0B" w14:textId="77777777" w:rsidR="0036339F" w:rsidRDefault="0036339F" w:rsidP="0036339F">
      <w:pPr>
        <w:pStyle w:val="B1"/>
      </w:pPr>
      <w:r>
        <w:t>1.</w:t>
      </w:r>
      <w:r>
        <w:tab/>
        <w:t>ON/OFF mechanism relying on signalling from the gNB: when the gNB observes that a logical channel exceeds its MDBV, the UE is ordered to skip that logical channel from LCP (for instance by considering that it has no data to send)</w:t>
      </w:r>
    </w:p>
    <w:p w14:paraId="72622CBE" w14:textId="77777777" w:rsidR="0036339F" w:rsidRDefault="0036339F" w:rsidP="0036339F">
      <w:pPr>
        <w:pStyle w:val="B1"/>
      </w:pPr>
      <w:r>
        <w:t>2.</w:t>
      </w:r>
      <w:r>
        <w:tab/>
        <w:t>Removing Tokens: when the gNB observes that a logical channel exceeds its MDBV, the UE is ordered to remove tokens from the corresponding bucket. With a bucket full of negative tokens, the logical channel would then not be scheduled for a while.</w:t>
      </w:r>
    </w:p>
    <w:p w14:paraId="3B5B706F" w14:textId="405D1DB6" w:rsidR="0036339F" w:rsidRDefault="0036339F" w:rsidP="0036339F">
      <w:pPr>
        <w:pStyle w:val="B1"/>
      </w:pPr>
      <w:r>
        <w:t>3.</w:t>
      </w:r>
      <w:r>
        <w:tab/>
        <w:t xml:space="preserve">Prohibit timer for the Tokens: </w:t>
      </w:r>
      <w:r w:rsidRPr="00D14DC0">
        <w:t>once the equivalent amount of a full bucket is transmitted (corresponding to PBR x BSD toke</w:t>
      </w:r>
      <w:r>
        <w:t>ns), a prohibit timer could be started to preclude further tokens to be added.</w:t>
      </w:r>
    </w:p>
    <w:p w14:paraId="4F49AC7A" w14:textId="5A112ADC" w:rsidR="00864566" w:rsidRDefault="00864566" w:rsidP="0036339F">
      <w:pPr>
        <w:pStyle w:val="B1"/>
      </w:pPr>
      <w:r>
        <w:t>4.</w:t>
      </w:r>
      <w:r>
        <w:tab/>
      </w:r>
      <w:r w:rsidR="00FD65EE">
        <w:t xml:space="preserve">Changing priority: once </w:t>
      </w:r>
      <w:r w:rsidR="008F4361">
        <w:t>the MDBV is reached (as indicated by an empty bucket</w:t>
      </w:r>
      <w:r w:rsidR="00C34DED">
        <w:t xml:space="preserve">), </w:t>
      </w:r>
      <w:r w:rsidR="00821619">
        <w:t>the priority of the LCH is reduced automatically.</w:t>
      </w:r>
    </w:p>
    <w:p w14:paraId="60449C3F" w14:textId="3C4C8D70" w:rsidR="00A209D6" w:rsidRPr="006E13D1" w:rsidRDefault="00463D40" w:rsidP="00A209D6">
      <w:r w:rsidRPr="00EC108B">
        <w:rPr>
          <w:b/>
          <w:bCs/>
        </w:rPr>
        <w:t>Proposal 1:</w:t>
      </w:r>
      <w:r>
        <w:t xml:space="preserve"> </w:t>
      </w:r>
      <w:r w:rsidR="00D356DF">
        <w:t>RAN2 to discuss and adopt one of the four alternatives (or any other solution) to guarantee that MDBV can always be enforced, regardless of the deployment scenarios.</w:t>
      </w:r>
    </w:p>
    <w:p w14:paraId="2F540CD1" w14:textId="5329E988" w:rsidR="00EC108B" w:rsidRPr="006E13D1" w:rsidRDefault="00EC108B" w:rsidP="00EC108B">
      <w:pPr>
        <w:pStyle w:val="Heading1"/>
      </w:pPr>
      <w:r>
        <w:t>5</w:t>
      </w:r>
      <w:r w:rsidRPr="006E13D1">
        <w:tab/>
      </w:r>
      <w:r>
        <w:t>Conclusion</w:t>
      </w:r>
    </w:p>
    <w:p w14:paraId="0A7246B5" w14:textId="77777777" w:rsidR="00184231" w:rsidRPr="006E13D1" w:rsidRDefault="00184231" w:rsidP="00184231">
      <w:r>
        <w:t>This contribution has discussed MDBV and has made the following observations and proposals</w:t>
      </w:r>
      <w:r w:rsidRPr="006E13D1">
        <w:t>.</w:t>
      </w:r>
    </w:p>
    <w:p w14:paraId="432B0A82" w14:textId="4E8C4ECF" w:rsidR="00A209D6" w:rsidRDefault="00184231" w:rsidP="00A209D6">
      <w:r w:rsidRPr="00EE5631">
        <w:rPr>
          <w:b/>
        </w:rPr>
        <w:t>Observation 1</w:t>
      </w:r>
      <w:r>
        <w:t>: allowing Delay Critical GBR bearers to exceed the MDBV based on which admission control is based results in lower capacity for all GBR bearers.</w:t>
      </w:r>
    </w:p>
    <w:p w14:paraId="388AFDFD" w14:textId="38D9DBCE" w:rsidR="00184231" w:rsidRPr="008B50DD" w:rsidRDefault="00184231" w:rsidP="00184231">
      <w:r w:rsidRPr="00EE5631">
        <w:rPr>
          <w:b/>
        </w:rPr>
        <w:t xml:space="preserve">Observation </w:t>
      </w:r>
      <w:r>
        <w:rPr>
          <w:b/>
        </w:rPr>
        <w:t>2</w:t>
      </w:r>
      <w:r>
        <w:t>:</w:t>
      </w:r>
      <w:r w:rsidRPr="00B14244">
        <w:t xml:space="preserve"> </w:t>
      </w:r>
      <w:r>
        <w:t>MDBV enforcement is limited in Rel-15 to complex scenarios where resource isolation is possible.</w:t>
      </w:r>
    </w:p>
    <w:p w14:paraId="473EB37E" w14:textId="77777777" w:rsidR="00184231" w:rsidRPr="008B50DD" w:rsidRDefault="00184231" w:rsidP="00184231">
      <w:r w:rsidRPr="00EE5631">
        <w:rPr>
          <w:b/>
        </w:rPr>
        <w:t xml:space="preserve">Observation </w:t>
      </w:r>
      <w:r>
        <w:rPr>
          <w:b/>
        </w:rPr>
        <w:t>3</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38871A74" w14:textId="77777777" w:rsidR="00184231" w:rsidRPr="006E13D1" w:rsidRDefault="00184231" w:rsidP="00184231">
      <w:r w:rsidRPr="00EC108B">
        <w:rPr>
          <w:b/>
          <w:bCs/>
        </w:rPr>
        <w:t>Proposal 1:</w:t>
      </w:r>
      <w:r>
        <w:t xml:space="preserve"> RAN2 to discuss and adopt one of the four alternatives (or any other solution) to guarantee that MDBV can always be enforced, regardless of the deployment scenarios.</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FE"/>
    <w:rsid w:val="00016557"/>
    <w:rsid w:val="00023C40"/>
    <w:rsid w:val="00033397"/>
    <w:rsid w:val="0003579A"/>
    <w:rsid w:val="00040095"/>
    <w:rsid w:val="00073C9C"/>
    <w:rsid w:val="00080512"/>
    <w:rsid w:val="00090468"/>
    <w:rsid w:val="00094568"/>
    <w:rsid w:val="000B7BCF"/>
    <w:rsid w:val="000C522B"/>
    <w:rsid w:val="000D044F"/>
    <w:rsid w:val="000D58AB"/>
    <w:rsid w:val="000F41C1"/>
    <w:rsid w:val="00106BFE"/>
    <w:rsid w:val="00112F1A"/>
    <w:rsid w:val="00145075"/>
    <w:rsid w:val="001741A0"/>
    <w:rsid w:val="00175FA0"/>
    <w:rsid w:val="00184231"/>
    <w:rsid w:val="0018547B"/>
    <w:rsid w:val="00194CD0"/>
    <w:rsid w:val="001B49C9"/>
    <w:rsid w:val="001C23F4"/>
    <w:rsid w:val="001C4F79"/>
    <w:rsid w:val="001F168B"/>
    <w:rsid w:val="001F1D32"/>
    <w:rsid w:val="001F7831"/>
    <w:rsid w:val="00204045"/>
    <w:rsid w:val="0020712B"/>
    <w:rsid w:val="0022606D"/>
    <w:rsid w:val="00231728"/>
    <w:rsid w:val="00250404"/>
    <w:rsid w:val="002610D8"/>
    <w:rsid w:val="002747EC"/>
    <w:rsid w:val="00275037"/>
    <w:rsid w:val="002855BF"/>
    <w:rsid w:val="002B3DF9"/>
    <w:rsid w:val="002F0D22"/>
    <w:rsid w:val="003172DC"/>
    <w:rsid w:val="00325AE3"/>
    <w:rsid w:val="00326069"/>
    <w:rsid w:val="00326D39"/>
    <w:rsid w:val="0035462D"/>
    <w:rsid w:val="0036339F"/>
    <w:rsid w:val="00364B41"/>
    <w:rsid w:val="00383096"/>
    <w:rsid w:val="00395D6F"/>
    <w:rsid w:val="00396E45"/>
    <w:rsid w:val="003A41EF"/>
    <w:rsid w:val="003B40AD"/>
    <w:rsid w:val="003C4E37"/>
    <w:rsid w:val="003E16BE"/>
    <w:rsid w:val="003F4E28"/>
    <w:rsid w:val="004006E8"/>
    <w:rsid w:val="00401855"/>
    <w:rsid w:val="00413A26"/>
    <w:rsid w:val="00441DF2"/>
    <w:rsid w:val="00463D40"/>
    <w:rsid w:val="00465587"/>
    <w:rsid w:val="00477455"/>
    <w:rsid w:val="004A1F7B"/>
    <w:rsid w:val="004C44D2"/>
    <w:rsid w:val="004D3578"/>
    <w:rsid w:val="004D380D"/>
    <w:rsid w:val="004E213A"/>
    <w:rsid w:val="004E3026"/>
    <w:rsid w:val="004F5B0E"/>
    <w:rsid w:val="00503171"/>
    <w:rsid w:val="00506C28"/>
    <w:rsid w:val="00534DA0"/>
    <w:rsid w:val="00543E6C"/>
    <w:rsid w:val="00546725"/>
    <w:rsid w:val="00565087"/>
    <w:rsid w:val="0056573F"/>
    <w:rsid w:val="00611566"/>
    <w:rsid w:val="00646D99"/>
    <w:rsid w:val="00650CCD"/>
    <w:rsid w:val="00656910"/>
    <w:rsid w:val="0067761F"/>
    <w:rsid w:val="006C66D8"/>
    <w:rsid w:val="006D1E24"/>
    <w:rsid w:val="006E1417"/>
    <w:rsid w:val="006E4F24"/>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F2E08"/>
    <w:rsid w:val="008028A4"/>
    <w:rsid w:val="0080590E"/>
    <w:rsid w:val="00813245"/>
    <w:rsid w:val="00821619"/>
    <w:rsid w:val="0086354A"/>
    <w:rsid w:val="00864566"/>
    <w:rsid w:val="008768CA"/>
    <w:rsid w:val="00877EF9"/>
    <w:rsid w:val="00880559"/>
    <w:rsid w:val="008B5306"/>
    <w:rsid w:val="008C3057"/>
    <w:rsid w:val="008D2E4D"/>
    <w:rsid w:val="008F396F"/>
    <w:rsid w:val="008F4361"/>
    <w:rsid w:val="0090271F"/>
    <w:rsid w:val="00902DB9"/>
    <w:rsid w:val="0090466A"/>
    <w:rsid w:val="00907A7C"/>
    <w:rsid w:val="00923655"/>
    <w:rsid w:val="00936071"/>
    <w:rsid w:val="00940212"/>
    <w:rsid w:val="00942EC2"/>
    <w:rsid w:val="00961B32"/>
    <w:rsid w:val="00962509"/>
    <w:rsid w:val="00970DB3"/>
    <w:rsid w:val="00971137"/>
    <w:rsid w:val="00974BB0"/>
    <w:rsid w:val="00975BCD"/>
    <w:rsid w:val="009A0AF3"/>
    <w:rsid w:val="009B07CD"/>
    <w:rsid w:val="009C19E9"/>
    <w:rsid w:val="009D74A6"/>
    <w:rsid w:val="00A10F02"/>
    <w:rsid w:val="00A204CA"/>
    <w:rsid w:val="00A209D6"/>
    <w:rsid w:val="00A53724"/>
    <w:rsid w:val="00A54B2B"/>
    <w:rsid w:val="00A817B9"/>
    <w:rsid w:val="00A82346"/>
    <w:rsid w:val="00A9671C"/>
    <w:rsid w:val="00AA1553"/>
    <w:rsid w:val="00B05380"/>
    <w:rsid w:val="00B05962"/>
    <w:rsid w:val="00B14244"/>
    <w:rsid w:val="00B15449"/>
    <w:rsid w:val="00B16C2F"/>
    <w:rsid w:val="00B1756B"/>
    <w:rsid w:val="00B27303"/>
    <w:rsid w:val="00B47FD1"/>
    <w:rsid w:val="00B516BB"/>
    <w:rsid w:val="00B84DB2"/>
    <w:rsid w:val="00BC3555"/>
    <w:rsid w:val="00C12B51"/>
    <w:rsid w:val="00C24650"/>
    <w:rsid w:val="00C25465"/>
    <w:rsid w:val="00C33079"/>
    <w:rsid w:val="00C34DED"/>
    <w:rsid w:val="00C3597D"/>
    <w:rsid w:val="00C42FBE"/>
    <w:rsid w:val="00C83A13"/>
    <w:rsid w:val="00C9068C"/>
    <w:rsid w:val="00C92967"/>
    <w:rsid w:val="00CA3D0C"/>
    <w:rsid w:val="00CA654B"/>
    <w:rsid w:val="00CB72B8"/>
    <w:rsid w:val="00CD4C7B"/>
    <w:rsid w:val="00D33BE3"/>
    <w:rsid w:val="00D34F05"/>
    <w:rsid w:val="00D356DF"/>
    <w:rsid w:val="00D3792D"/>
    <w:rsid w:val="00D55E47"/>
    <w:rsid w:val="00D62E19"/>
    <w:rsid w:val="00D67CD1"/>
    <w:rsid w:val="00D726E9"/>
    <w:rsid w:val="00D738D6"/>
    <w:rsid w:val="00D80795"/>
    <w:rsid w:val="00D854BE"/>
    <w:rsid w:val="00D87E00"/>
    <w:rsid w:val="00D9134D"/>
    <w:rsid w:val="00D96D11"/>
    <w:rsid w:val="00DA7A03"/>
    <w:rsid w:val="00DB0DB8"/>
    <w:rsid w:val="00DB1818"/>
    <w:rsid w:val="00DB299B"/>
    <w:rsid w:val="00DC309B"/>
    <w:rsid w:val="00DC4DA2"/>
    <w:rsid w:val="00DC5261"/>
    <w:rsid w:val="00DE25D2"/>
    <w:rsid w:val="00E1186C"/>
    <w:rsid w:val="00E46C08"/>
    <w:rsid w:val="00E471CF"/>
    <w:rsid w:val="00E62835"/>
    <w:rsid w:val="00E77645"/>
    <w:rsid w:val="00E83697"/>
    <w:rsid w:val="00EA4359"/>
    <w:rsid w:val="00EA66C9"/>
    <w:rsid w:val="00EB2F1C"/>
    <w:rsid w:val="00EC108B"/>
    <w:rsid w:val="00EC4A25"/>
    <w:rsid w:val="00EE115F"/>
    <w:rsid w:val="00F025A2"/>
    <w:rsid w:val="00F036E9"/>
    <w:rsid w:val="00F07388"/>
    <w:rsid w:val="00F2026E"/>
    <w:rsid w:val="00F2210A"/>
    <w:rsid w:val="00F37743"/>
    <w:rsid w:val="00F54A3D"/>
    <w:rsid w:val="00F54CB0"/>
    <w:rsid w:val="00F579CD"/>
    <w:rsid w:val="00F653B8"/>
    <w:rsid w:val="00F70897"/>
    <w:rsid w:val="00F71B89"/>
    <w:rsid w:val="00F7353C"/>
    <w:rsid w:val="00F76F8F"/>
    <w:rsid w:val="00F941DF"/>
    <w:rsid w:val="00FA1266"/>
    <w:rsid w:val="00FB36FA"/>
    <w:rsid w:val="00FC1192"/>
    <w:rsid w:val="00FC4B1D"/>
    <w:rsid w:val="00FC7A4F"/>
    <w:rsid w:val="00FD65E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12609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2/Docs/R2-180665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78</TotalTime>
  <Pages>1</Pages>
  <Words>1086</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104</cp:revision>
  <dcterms:created xsi:type="dcterms:W3CDTF">2016-08-12T03:53:00Z</dcterms:created>
  <dcterms:modified xsi:type="dcterms:W3CDTF">2019-08-15T11:01:00Z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